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32B4" w14:textId="071F3B14" w:rsidR="00BB5EBE" w:rsidRPr="00901D57" w:rsidRDefault="006E2F8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Алексеева П.Н.</w:t>
      </w:r>
    </w:p>
    <w:p w14:paraId="197B88F9" w14:textId="3B60764D" w:rsidR="00BB5EBE" w:rsidRPr="00901D57" w:rsidRDefault="005F243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Старорусский политехнический колледж (филиал) ФГБОУ ВО «Новгородский государственный университет имени Ярослава Мудрого»</w:t>
      </w:r>
    </w:p>
    <w:p w14:paraId="334273A7" w14:textId="77777777" w:rsidR="00BB5EBE" w:rsidRPr="00901D57" w:rsidRDefault="006E2F8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D57">
        <w:rPr>
          <w:rFonts w:ascii="Times New Roman" w:hAnsi="Times New Roman" w:cs="Times New Roman"/>
          <w:sz w:val="24"/>
          <w:szCs w:val="24"/>
        </w:rPr>
        <w:t>Polinaalekseeva</w:t>
      </w:r>
      <w:proofErr w:type="spellEnd"/>
      <w:r w:rsidRPr="00901D57">
        <w:rPr>
          <w:rFonts w:ascii="Times New Roman" w:hAnsi="Times New Roman" w:cs="Times New Roman"/>
          <w:sz w:val="24"/>
          <w:szCs w:val="24"/>
          <w:lang w:val="ru-RU"/>
        </w:rPr>
        <w:t>205@</w:t>
      </w:r>
      <w:proofErr w:type="spellStart"/>
      <w:r w:rsidRPr="00901D57"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901D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01D57">
        <w:rPr>
          <w:rFonts w:ascii="Times New Roman" w:hAnsi="Times New Roman" w:cs="Times New Roman"/>
          <w:sz w:val="24"/>
          <w:szCs w:val="24"/>
        </w:rPr>
        <w:t>com</w:t>
      </w:r>
    </w:p>
    <w:p w14:paraId="175B942E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505944" w14:textId="4B51E391" w:rsidR="00BB5EBE" w:rsidRPr="00901D57" w:rsidRDefault="006E2F8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Методическая разработка урока по теме</w:t>
      </w:r>
      <w:r w:rsidR="00C979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2433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В.А. Осеева</w:t>
      </w:r>
      <w:r w:rsidR="005F243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F2433" w:rsidRPr="00901D57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Хорошее</w:t>
      </w:r>
      <w:r w:rsidR="005F2433" w:rsidRPr="00901D5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2 класса</w:t>
      </w:r>
    </w:p>
    <w:p w14:paraId="387D5427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123CD3" w14:textId="1F9417BC" w:rsidR="00BB5EBE" w:rsidRPr="00901D57" w:rsidRDefault="006E2F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D57">
        <w:rPr>
          <w:rFonts w:ascii="Times New Roman" w:hAnsi="Times New Roman" w:cs="Times New Roman"/>
          <w:sz w:val="24"/>
          <w:szCs w:val="24"/>
        </w:rPr>
        <w:t>Alekseeva P.N.</w:t>
      </w:r>
    </w:p>
    <w:p w14:paraId="45B450A1" w14:textId="0F5F3A8D" w:rsidR="00C979D2" w:rsidRDefault="006E2F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1D57">
        <w:rPr>
          <w:rFonts w:ascii="Times New Roman" w:hAnsi="Times New Roman" w:cs="Times New Roman"/>
          <w:sz w:val="24"/>
          <w:szCs w:val="24"/>
        </w:rPr>
        <w:t>Starorus</w:t>
      </w:r>
      <w:proofErr w:type="spellEnd"/>
      <w:r w:rsidRPr="00901D57">
        <w:rPr>
          <w:rFonts w:ascii="Times New Roman" w:hAnsi="Times New Roman" w:cs="Times New Roman"/>
          <w:sz w:val="24"/>
          <w:szCs w:val="24"/>
        </w:rPr>
        <w:t xml:space="preserve"> Polytechnic College (branch) of Novgorod State University named after </w:t>
      </w:r>
      <w:proofErr w:type="spellStart"/>
      <w:r w:rsidRPr="00901D57">
        <w:rPr>
          <w:rFonts w:ascii="Times New Roman" w:hAnsi="Times New Roman" w:cs="Times New Roman"/>
          <w:sz w:val="24"/>
          <w:szCs w:val="24"/>
        </w:rPr>
        <w:t>Yaroslav</w:t>
      </w:r>
      <w:proofErr w:type="spellEnd"/>
      <w:r w:rsidRPr="00901D57">
        <w:rPr>
          <w:rFonts w:ascii="Times New Roman" w:hAnsi="Times New Roman" w:cs="Times New Roman"/>
          <w:sz w:val="24"/>
          <w:szCs w:val="24"/>
        </w:rPr>
        <w:t xml:space="preserve"> the Wise</w:t>
      </w:r>
    </w:p>
    <w:p w14:paraId="7F805C16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59C2E8" w14:textId="124519A2" w:rsidR="00BB5EBE" w:rsidRPr="00901D57" w:rsidRDefault="00731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Instructional</w:t>
      </w:r>
      <w:r w:rsidRPr="00901D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preparation</w:t>
      </w:r>
      <w:r w:rsidRPr="00901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F8B" w:rsidRPr="00901D57">
        <w:rPr>
          <w:rFonts w:ascii="Times New Roman" w:hAnsi="Times New Roman" w:cs="Times New Roman"/>
          <w:b/>
          <w:sz w:val="24"/>
          <w:szCs w:val="24"/>
        </w:rPr>
        <w:t xml:space="preserve">of a lesson on </w:t>
      </w:r>
      <w:proofErr w:type="spellStart"/>
      <w:r w:rsidR="006E2F8B" w:rsidRPr="00901D57">
        <w:rPr>
          <w:rFonts w:ascii="Times New Roman" w:hAnsi="Times New Roman" w:cs="Times New Roman"/>
          <w:b/>
          <w:sz w:val="24"/>
          <w:szCs w:val="24"/>
        </w:rPr>
        <w:t>Oseeva</w:t>
      </w:r>
      <w:r>
        <w:rPr>
          <w:rFonts w:ascii="Times New Roman" w:hAnsi="Times New Roman" w:cs="Times New Roman"/>
          <w:b/>
          <w:sz w:val="24"/>
          <w:szCs w:val="24"/>
        </w:rPr>
        <w:t>’s</w:t>
      </w:r>
      <w:proofErr w:type="spellEnd"/>
      <w:r w:rsidR="006E2F8B" w:rsidRPr="00901D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short story </w:t>
      </w:r>
      <w:r w:rsidR="006E2F8B" w:rsidRPr="00901D57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Do g</w:t>
      </w:r>
      <w:r w:rsidR="006E2F8B" w:rsidRPr="00901D57">
        <w:rPr>
          <w:rFonts w:ascii="Times New Roman" w:hAnsi="Times New Roman" w:cs="Times New Roman"/>
          <w:b/>
          <w:sz w:val="24"/>
          <w:szCs w:val="24"/>
        </w:rPr>
        <w:t>ood" for 2nd grade</w:t>
      </w:r>
    </w:p>
    <w:p w14:paraId="6097357E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BFC51" w14:textId="77777777" w:rsidR="00BB5EBE" w:rsidRPr="00901D57" w:rsidRDefault="006E2F8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2F3B653A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A72595" w14:textId="77777777" w:rsidR="00BB5EBE" w:rsidRPr="00901D57" w:rsidRDefault="006E2F8B" w:rsidP="00901D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В статье рассматривается практический опыт проектирования и проведения урока литературного чтения во 2 классе с использованием возможностей образовательной платформы «1</w:t>
      </w:r>
      <w:proofErr w:type="gramStart"/>
      <w:r w:rsidRPr="00901D57">
        <w:rPr>
          <w:rFonts w:ascii="Times New Roman" w:hAnsi="Times New Roman" w:cs="Times New Roman"/>
          <w:sz w:val="24"/>
          <w:szCs w:val="24"/>
          <w:lang w:val="ru-RU"/>
        </w:rPr>
        <w:t>С:Образование</w:t>
      </w:r>
      <w:proofErr w:type="gramEnd"/>
      <w:r w:rsidRPr="00901D57">
        <w:rPr>
          <w:rFonts w:ascii="Times New Roman" w:hAnsi="Times New Roman" w:cs="Times New Roman"/>
          <w:sz w:val="24"/>
          <w:szCs w:val="24"/>
          <w:lang w:val="ru-RU"/>
        </w:rPr>
        <w:t>». На примере работы с рассказом В.А. Осеевой «Хорошее» демонстрируется, как цифровые инструменты преодолевают абстрактность нравственных категорий, переводя их в практико-ориентированную плоскость. Описывается методика интеграции интерактивных заданий, мультимедийных ресурсов и аналитического функционала платформы для достижения предметных, метапредметных и личностных результатов в соответствии с требованиями ФГОС НОО.</w:t>
      </w:r>
    </w:p>
    <w:p w14:paraId="6B5991DA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3D5865" w14:textId="77777777" w:rsidR="00BB5EBE" w:rsidRPr="00901D57" w:rsidRDefault="006E2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57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A7512CD" w14:textId="77777777" w:rsidR="00BB5EBE" w:rsidRPr="00901D57" w:rsidRDefault="00BB5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5F22D4" w14:textId="044E404C" w:rsidR="00BB5EBE" w:rsidRPr="00901D57" w:rsidRDefault="006E2F8B" w:rsidP="00901D57">
      <w:pPr>
        <w:jc w:val="both"/>
        <w:rPr>
          <w:rFonts w:ascii="Times New Roman" w:hAnsi="Times New Roman" w:cs="Times New Roman"/>
          <w:sz w:val="24"/>
          <w:szCs w:val="24"/>
        </w:rPr>
      </w:pPr>
      <w:r w:rsidRPr="00901D57">
        <w:rPr>
          <w:rFonts w:ascii="Times New Roman" w:hAnsi="Times New Roman" w:cs="Times New Roman"/>
          <w:sz w:val="24"/>
          <w:szCs w:val="24"/>
        </w:rPr>
        <w:t>The article discusses the practical experience of designing and conducting a literary reading lesson in the 2nd grade using the capabilities of the 1</w:t>
      </w:r>
      <w:proofErr w:type="gramStart"/>
      <w:r w:rsidRPr="00901D57">
        <w:rPr>
          <w:rFonts w:ascii="Times New Roman" w:hAnsi="Times New Roman" w:cs="Times New Roman"/>
          <w:sz w:val="24"/>
          <w:szCs w:val="24"/>
        </w:rPr>
        <w:t>C:Education</w:t>
      </w:r>
      <w:proofErr w:type="gramEnd"/>
      <w:r w:rsidRPr="00901D57">
        <w:rPr>
          <w:rFonts w:ascii="Times New Roman" w:hAnsi="Times New Roman" w:cs="Times New Roman"/>
          <w:sz w:val="24"/>
          <w:szCs w:val="24"/>
        </w:rPr>
        <w:t xml:space="preserve"> educational platform. Using the example of working with V</w:t>
      </w:r>
      <w:r w:rsidR="007312DD">
        <w:rPr>
          <w:rFonts w:ascii="Times New Roman" w:hAnsi="Times New Roman" w:cs="Times New Roman"/>
          <w:sz w:val="24"/>
          <w:szCs w:val="24"/>
        </w:rPr>
        <w:t>alentina</w:t>
      </w:r>
      <w:r w:rsidRPr="00901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D57">
        <w:rPr>
          <w:rFonts w:ascii="Times New Roman" w:hAnsi="Times New Roman" w:cs="Times New Roman"/>
          <w:sz w:val="24"/>
          <w:szCs w:val="24"/>
        </w:rPr>
        <w:t>Oseeva's</w:t>
      </w:r>
      <w:proofErr w:type="spellEnd"/>
      <w:r w:rsidRPr="00901D57">
        <w:rPr>
          <w:rFonts w:ascii="Times New Roman" w:hAnsi="Times New Roman" w:cs="Times New Roman"/>
          <w:sz w:val="24"/>
          <w:szCs w:val="24"/>
        </w:rPr>
        <w:t xml:space="preserve"> </w:t>
      </w:r>
      <w:r w:rsidR="007312DD">
        <w:rPr>
          <w:rFonts w:ascii="Times New Roman" w:hAnsi="Times New Roman" w:cs="Times New Roman"/>
          <w:sz w:val="24"/>
          <w:szCs w:val="24"/>
        </w:rPr>
        <w:t xml:space="preserve">short </w:t>
      </w:r>
      <w:r w:rsidRPr="00901D57">
        <w:rPr>
          <w:rFonts w:ascii="Times New Roman" w:hAnsi="Times New Roman" w:cs="Times New Roman"/>
          <w:sz w:val="24"/>
          <w:szCs w:val="24"/>
        </w:rPr>
        <w:t>story "</w:t>
      </w:r>
      <w:r w:rsidR="007312DD">
        <w:rPr>
          <w:rFonts w:ascii="Times New Roman" w:hAnsi="Times New Roman" w:cs="Times New Roman"/>
          <w:sz w:val="24"/>
          <w:szCs w:val="24"/>
        </w:rPr>
        <w:t>Do</w:t>
      </w:r>
      <w:r w:rsidRPr="00901D57">
        <w:rPr>
          <w:rFonts w:ascii="Times New Roman" w:hAnsi="Times New Roman" w:cs="Times New Roman"/>
          <w:sz w:val="24"/>
          <w:szCs w:val="24"/>
        </w:rPr>
        <w:t xml:space="preserve"> </w:t>
      </w:r>
      <w:r w:rsidR="007312DD">
        <w:rPr>
          <w:rFonts w:ascii="Times New Roman" w:hAnsi="Times New Roman" w:cs="Times New Roman"/>
          <w:sz w:val="24"/>
          <w:szCs w:val="24"/>
        </w:rPr>
        <w:t>g</w:t>
      </w:r>
      <w:r w:rsidRPr="00901D57">
        <w:rPr>
          <w:rFonts w:ascii="Times New Roman" w:hAnsi="Times New Roman" w:cs="Times New Roman"/>
          <w:sz w:val="24"/>
          <w:szCs w:val="24"/>
        </w:rPr>
        <w:t xml:space="preserve">ood," the article demonstrates how digital tools overcome the abstract nature of moral categories by translating them into a practical context. The article describes the methodology for integrating interactive tasks, multimedia resources, and the platform's analytical functionality to achieve subject, </w:t>
      </w:r>
      <w:proofErr w:type="spellStart"/>
      <w:r w:rsidRPr="00901D57">
        <w:rPr>
          <w:rFonts w:ascii="Times New Roman" w:hAnsi="Times New Roman" w:cs="Times New Roman"/>
          <w:sz w:val="24"/>
          <w:szCs w:val="24"/>
        </w:rPr>
        <w:t>metasubject</w:t>
      </w:r>
      <w:proofErr w:type="spellEnd"/>
      <w:r w:rsidRPr="00901D57">
        <w:rPr>
          <w:rFonts w:ascii="Times New Roman" w:hAnsi="Times New Roman" w:cs="Times New Roman"/>
          <w:sz w:val="24"/>
          <w:szCs w:val="24"/>
        </w:rPr>
        <w:t>, and personal outcomes in accordance with the requirements of the Federal State Educational Standard for Primary General Education.</w:t>
      </w:r>
    </w:p>
    <w:p w14:paraId="54C80F7B" w14:textId="77777777" w:rsidR="005F2433" w:rsidRPr="00901D57" w:rsidRDefault="005F24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6D42D" w14:textId="4FAC0F91" w:rsidR="005F2433" w:rsidRPr="00901D57" w:rsidRDefault="006E2F8B" w:rsidP="00901D57">
      <w:pPr>
        <w:ind w:firstLineChars="125" w:firstLine="3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слова: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«1</w:t>
      </w:r>
      <w:proofErr w:type="gramStart"/>
      <w:r w:rsidRPr="00901D57">
        <w:rPr>
          <w:rFonts w:ascii="Times New Roman" w:hAnsi="Times New Roman" w:cs="Times New Roman"/>
          <w:sz w:val="24"/>
          <w:szCs w:val="24"/>
          <w:lang w:val="ru-RU"/>
        </w:rPr>
        <w:t>С:Образование</w:t>
      </w:r>
      <w:proofErr w:type="gramEnd"/>
      <w:r w:rsidRPr="00901D57">
        <w:rPr>
          <w:rFonts w:ascii="Times New Roman" w:hAnsi="Times New Roman" w:cs="Times New Roman"/>
          <w:sz w:val="24"/>
          <w:szCs w:val="24"/>
          <w:lang w:val="ru-RU"/>
        </w:rPr>
        <w:t>», цифров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ой,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ый,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среда, духовно-нравственн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ый,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воспитание, литературн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ый,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чтение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начальн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ый,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5F243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, интерактивн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ый,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модель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урок, метапредметны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результаты, профессиональны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педагог</w:t>
      </w:r>
    </w:p>
    <w:p w14:paraId="13068ACE" w14:textId="16DE171A" w:rsidR="00BB5EBE" w:rsidRPr="00901D57" w:rsidRDefault="00BB5EBE" w:rsidP="00901D5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7CD1C" w14:textId="4E2FAB5A" w:rsidR="00BB5EBE" w:rsidRPr="00901D57" w:rsidRDefault="006E2F8B" w:rsidP="00901D57">
      <w:pPr>
        <w:ind w:firstLineChars="125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901D57">
        <w:rPr>
          <w:rFonts w:ascii="Times New Roman" w:hAnsi="Times New Roman" w:cs="Times New Roman"/>
          <w:b/>
          <w:sz w:val="24"/>
          <w:szCs w:val="24"/>
        </w:rPr>
        <w:t>Keywords:</w:t>
      </w:r>
      <w:r w:rsidR="00C979D2" w:rsidRPr="00901D57">
        <w:rPr>
          <w:rFonts w:ascii="Times New Roman" w:hAnsi="Times New Roman" w:cs="Times New Roman"/>
          <w:sz w:val="24"/>
          <w:szCs w:val="24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01D57">
        <w:rPr>
          <w:rFonts w:ascii="Times New Roman" w:hAnsi="Times New Roman" w:cs="Times New Roman"/>
          <w:sz w:val="24"/>
          <w:szCs w:val="24"/>
        </w:rPr>
        <w:t>C:Education</w:t>
      </w:r>
      <w:proofErr w:type="gramEnd"/>
      <w:r w:rsidRPr="00901D57">
        <w:rPr>
          <w:rFonts w:ascii="Times New Roman" w:hAnsi="Times New Roman" w:cs="Times New Roman"/>
          <w:sz w:val="24"/>
          <w:szCs w:val="24"/>
        </w:rPr>
        <w:t xml:space="preserve">, digital educational environment, spiritual and moral education, literary reading in elementary school, interactive lesson model, </w:t>
      </w:r>
      <w:proofErr w:type="spellStart"/>
      <w:r w:rsidRPr="00901D57">
        <w:rPr>
          <w:rFonts w:ascii="Times New Roman" w:hAnsi="Times New Roman" w:cs="Times New Roman"/>
          <w:sz w:val="24"/>
          <w:szCs w:val="24"/>
        </w:rPr>
        <w:t>metasubject</w:t>
      </w:r>
      <w:proofErr w:type="spellEnd"/>
      <w:r w:rsidRPr="00901D57">
        <w:rPr>
          <w:rFonts w:ascii="Times New Roman" w:hAnsi="Times New Roman" w:cs="Times New Roman"/>
          <w:sz w:val="24"/>
          <w:szCs w:val="24"/>
        </w:rPr>
        <w:t xml:space="preserve"> results, teacher</w:t>
      </w:r>
      <w:r w:rsidR="00FF04B3">
        <w:rPr>
          <w:rFonts w:ascii="Times New Roman" w:hAnsi="Times New Roman" w:cs="Times New Roman"/>
          <w:sz w:val="24"/>
          <w:szCs w:val="24"/>
        </w:rPr>
        <w:t>’s</w:t>
      </w:r>
      <w:r w:rsidRPr="00901D57">
        <w:rPr>
          <w:rFonts w:ascii="Times New Roman" w:hAnsi="Times New Roman" w:cs="Times New Roman"/>
          <w:sz w:val="24"/>
          <w:szCs w:val="24"/>
        </w:rPr>
        <w:t xml:space="preserve"> professional competencies</w:t>
      </w:r>
    </w:p>
    <w:p w14:paraId="2F54A7EE" w14:textId="77777777" w:rsidR="00BB5EBE" w:rsidRPr="00901D57" w:rsidRDefault="00BB5EBE">
      <w:pPr>
        <w:ind w:firstLineChars="125" w:firstLine="300"/>
        <w:rPr>
          <w:rFonts w:ascii="Times New Roman" w:hAnsi="Times New Roman" w:cs="Times New Roman"/>
          <w:sz w:val="24"/>
          <w:szCs w:val="24"/>
        </w:rPr>
      </w:pPr>
    </w:p>
    <w:p w14:paraId="5DBB1992" w14:textId="2D76876C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Тема 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занимает ключевое место в формировании духовно-нравственного воспитания младших школьников в процессе изучения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литературы,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поскольку напрямую способствует достижению личностных результатов, предусмотренных Федеральным государственным образовательным стандартом начального общего образования [1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п.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41.1.2]. Её изучение способствует формированию у детей этических представлений о добре, взаимопомощи, сочувствии и ответственности. Однако абстрактность этих нравственных категорий создаёт объективную трудность для их осмысления учащимися 2 класса. Цифровизация образовательного процесса позволяет преодолеть эту трудность, обеспечивая наглядность, эмоциональное погружение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личностное взаимодействие с материалом. Для будущего учителя владение технологиями проектирования такого урока становится ключевой компетенцией,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отвечающей требованиям ФГОС НОО [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34.4]. Цифровизация образования открывает пути решения этой проблемы через создание интерактивной, эмоционально насыщенной и деятельностной учебной среды.</w:t>
      </w:r>
    </w:p>
    <w:p w14:paraId="6DD0D426" w14:textId="7777777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Целью описываемого опыта являлось не просто использование цифровых инструментов, а целенаправленное проектирование образовательной траектории урока, где технология служит ключевым средством достижения педагогических задач. Платформа «1</w:t>
      </w:r>
      <w:proofErr w:type="gramStart"/>
      <w:r w:rsidRPr="00901D57">
        <w:rPr>
          <w:rFonts w:ascii="Times New Roman" w:hAnsi="Times New Roman" w:cs="Times New Roman"/>
          <w:sz w:val="24"/>
          <w:szCs w:val="24"/>
          <w:lang w:val="ru-RU"/>
        </w:rPr>
        <w:t>С:Образование</w:t>
      </w:r>
      <w:proofErr w:type="gramEnd"/>
      <w:r w:rsidRPr="00901D57">
        <w:rPr>
          <w:rFonts w:ascii="Times New Roman" w:hAnsi="Times New Roman" w:cs="Times New Roman"/>
          <w:sz w:val="24"/>
          <w:szCs w:val="24"/>
          <w:lang w:val="ru-RU"/>
        </w:rPr>
        <w:t>» была выбрана в качестве ядра урока благодаря её комплексности, объединяющей функции презентации материала, организации деятельности, контроля и анализа.</w:t>
      </w:r>
    </w:p>
    <w:p w14:paraId="7F679509" w14:textId="2ED583C9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i/>
          <w:sz w:val="24"/>
          <w:szCs w:val="24"/>
          <w:lang w:val="ru-RU"/>
        </w:rPr>
        <w:t>Опыт практической реализации на уроке</w:t>
      </w:r>
      <w:r w:rsidR="00C979D2" w:rsidRPr="00901D57">
        <w:rPr>
          <w:rFonts w:ascii="Times New Roman" w:hAnsi="Times New Roman" w:cs="Times New Roman"/>
          <w:i/>
          <w:sz w:val="24"/>
          <w:szCs w:val="24"/>
          <w:lang w:val="ru-RU"/>
        </w:rPr>
        <w:t>, посвященному рассказу</w:t>
      </w:r>
      <w:r w:rsidRPr="00901D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В.А. Осеевой «Хорошее».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Работа с платформой была структурирована в соответствии с этапами урока усвоения новых знаний и преследовала конкретные дидактические цели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CD7560" w14:textId="77777777" w:rsidR="00BB5EBE" w:rsidRPr="00901D57" w:rsidRDefault="006E2F8B">
      <w:pPr>
        <w:ind w:firstLineChars="125" w:firstLine="300"/>
        <w:jc w:val="both"/>
        <w:rPr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На этапе актуализации и целеполагания использовался «интерактивный опрос» для быстрого сбора ассоциаций учащихся со словом «хорошее» и выявления их ожиданий. Это позволило создать личностный контекст и сформулировать проблему урока.</w:t>
      </w:r>
    </w:p>
    <w:p w14:paraId="3C1CCE80" w14:textId="7777777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01D57">
        <w:rPr>
          <w:noProof/>
          <w:sz w:val="24"/>
          <w:szCs w:val="24"/>
          <w:lang w:val="ru-RU" w:eastAsia="ru-RU"/>
        </w:rPr>
        <w:drawing>
          <wp:inline distT="0" distB="0" distL="114300" distR="114300" wp14:anchorId="7390B509" wp14:editId="117E12AF">
            <wp:extent cx="5271135" cy="2606040"/>
            <wp:effectExtent l="0" t="0" r="1905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CA2F" w14:textId="7777777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На этапе первичного восприятия текста была задействована «аудиобиблиотека» платформы. Профессиональное выразительное чтение рассказа (озвучка) способствовало более глубокому эмоциональному погружению и формированию навыка смыслового аудирования, особенно для учащихся с разными темпами чтения.</w:t>
      </w:r>
    </w:p>
    <w:p w14:paraId="5C9B4411" w14:textId="776185BB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Для первичной проверки понимания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применялся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конструктор интерактивных заданий. Задание типа «Соотнеси события с их описанием» позволило учащимся наглядно выстроить и закрепить логическую цепочку сюжета, что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lastRenderedPageBreak/>
        <w:t>является ключевым для последующего анализа текста. Викторина с автоматической проверкой обеспечила мгновенную обратную связь по фактическому содержанию рассказа.</w:t>
      </w:r>
    </w:p>
    <w:p w14:paraId="4B8F1598" w14:textId="7777777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01D57">
        <w:rPr>
          <w:noProof/>
          <w:sz w:val="24"/>
          <w:szCs w:val="24"/>
          <w:lang w:val="ru-RU" w:eastAsia="ru-RU"/>
        </w:rPr>
        <w:drawing>
          <wp:inline distT="0" distB="0" distL="114300" distR="114300" wp14:anchorId="2C9F7328" wp14:editId="7C11861E">
            <wp:extent cx="4667250" cy="2801620"/>
            <wp:effectExtent l="0" t="0" r="11430" b="254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44C1" w14:textId="1322F4FA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На этапе первичного закрепления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использовались два ключевых инструмента:</w:t>
      </w:r>
    </w:p>
    <w:p w14:paraId="62268677" w14:textId="3F1CE899" w:rsidR="00BB5EBE" w:rsidRPr="00901D57" w:rsidRDefault="006E2F8B" w:rsidP="00901D5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Конструктор интерактивных заданий («Собери пословицу»).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Задание, в котором ученикам в парах предлагалось из набора слов собрать целостную пословицу («Лучше хорошо поступить, чем хорошо говорить»), служило метапредметным мостом между содержанием рассказа и народной мудростью. Этот приём способствовал глубокому осмыслению главной идеи произведения, развивал логическое мышление и навыки сотрудничества.</w:t>
      </w:r>
    </w:p>
    <w:p w14:paraId="7B0161B6" w14:textId="77777777" w:rsidR="00BB5EBE" w:rsidRPr="00901D57" w:rsidRDefault="00BB5EBE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0E8530" w14:textId="7777777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47531CC4" wp14:editId="5A836C62">
            <wp:extent cx="5269230" cy="2038350"/>
            <wp:effectExtent l="0" t="0" r="3810" b="381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88F3A" w14:textId="3C3063E2" w:rsidR="00BB5EBE" w:rsidRPr="00901D57" w:rsidRDefault="006E2F8B" w:rsidP="00901D5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На этапе рефлексии применялся инструмент «Смайлики» для оперативной оценки учениками своего состояния и понимания материала.</w:t>
      </w:r>
    </w:p>
    <w:p w14:paraId="0F1A9138" w14:textId="2583DAA2" w:rsidR="00BB5EBE" w:rsidRPr="00901D57" w:rsidRDefault="006E2F8B" w:rsidP="00901D57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i/>
          <w:sz w:val="24"/>
          <w:szCs w:val="24"/>
          <w:lang w:val="ru-RU"/>
        </w:rPr>
        <w:t>Преимущества использования платформы «1</w:t>
      </w:r>
      <w:proofErr w:type="gramStart"/>
      <w:r w:rsidRPr="00901D57">
        <w:rPr>
          <w:rFonts w:ascii="Times New Roman" w:hAnsi="Times New Roman" w:cs="Times New Roman"/>
          <w:i/>
          <w:sz w:val="24"/>
          <w:szCs w:val="24"/>
          <w:lang w:val="ru-RU"/>
        </w:rPr>
        <w:t>С:Образование</w:t>
      </w:r>
      <w:proofErr w:type="gramEnd"/>
      <w:r w:rsidRPr="00901D57">
        <w:rPr>
          <w:rFonts w:ascii="Times New Roman" w:hAnsi="Times New Roman" w:cs="Times New Roman"/>
          <w:i/>
          <w:sz w:val="24"/>
          <w:szCs w:val="24"/>
          <w:lang w:val="ru-RU"/>
        </w:rPr>
        <w:t>» для реализации конкретных целей данного урока и схожих по типу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остижение предметных результатов: объективный и оперативный контроль знания содержания текста</w:t>
      </w:r>
      <w:r w:rsidR="00C979D2" w:rsidRPr="00901D5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читательской компетенции, обогащени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словаря и понимани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контекста.</w:t>
      </w:r>
    </w:p>
    <w:p w14:paraId="0941D4A2" w14:textId="4E673AB7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Для достижения метапредметных результатов (УУД)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служат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D8702AC" w14:textId="7C0BC9D5" w:rsidR="00BB5EBE" w:rsidRPr="00901D57" w:rsidRDefault="006E2F8B" w:rsidP="00901D5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Познавательные УУД: 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адания на анализ сюжета, установление последовательности и аналогий развивали базовые логические действия. </w:t>
      </w:r>
    </w:p>
    <w:p w14:paraId="7F7E66AF" w14:textId="3286D220" w:rsidR="00BB5EBE" w:rsidRPr="00901D57" w:rsidRDefault="006E2F8B" w:rsidP="00901D5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УУД: 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рганизация обсуждения на основе визуализированных в платформе результатов структурировала дискуссию, учила корректно формулировать и аргументировать мнение.</w:t>
      </w:r>
    </w:p>
    <w:p w14:paraId="4F07FF13" w14:textId="771CD792" w:rsidR="00C979D2" w:rsidRPr="00901D57" w:rsidRDefault="006E2F8B" w:rsidP="00901D5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Регулятивные УУД: 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гновенная обратная связь от платформы в тестовых заданиях и возможность видеть свой прогресс способствовали развитию навыков самоконтроля и самооценки.</w:t>
      </w:r>
    </w:p>
    <w:p w14:paraId="00D1688D" w14:textId="5B76C011" w:rsidR="00BB5EBE" w:rsidRPr="00901D57" w:rsidRDefault="006E2F8B" w:rsidP="00901D5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Эмоциональное погружение через аудиоматериал и личное участие в создании цифрового контента (ассоциации, иллюстрации) трансформировало абстрактные понятия «добро», «сочувствие», «ответственность» в личностно значимый опыт, способствуя осознанному нравственному выбору.</w:t>
      </w:r>
    </w:p>
    <w:p w14:paraId="7CA4AB3B" w14:textId="75B3238A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Опыт работы подтвердил переход роли учителя от транслятора к:</w:t>
      </w:r>
    </w:p>
    <w:p w14:paraId="5449F79C" w14:textId="74675D64" w:rsidR="00BB5EBE" w:rsidRPr="00901D57" w:rsidRDefault="006E2F8B" w:rsidP="00901D5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Проектировщику образовательной траектории, который критически отбирает и комбинирует цифровые инструменты под конкретные задачи урока.</w:t>
      </w:r>
    </w:p>
    <w:p w14:paraId="34AD06BF" w14:textId="3C76B3B3" w:rsidR="00BB5EBE" w:rsidRPr="00901D57" w:rsidRDefault="006E2F8B" w:rsidP="00901D5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D57">
        <w:rPr>
          <w:rFonts w:ascii="Times New Roman" w:hAnsi="Times New Roman" w:cs="Times New Roman"/>
          <w:sz w:val="24"/>
          <w:szCs w:val="24"/>
          <w:lang w:val="ru-RU"/>
        </w:rPr>
        <w:t>Фасилитатору</w:t>
      </w:r>
      <w:proofErr w:type="spellEnd"/>
      <w:r w:rsidRPr="00901D57">
        <w:rPr>
          <w:rFonts w:ascii="Times New Roman" w:hAnsi="Times New Roman" w:cs="Times New Roman"/>
          <w:sz w:val="24"/>
          <w:szCs w:val="24"/>
          <w:lang w:val="ru-RU"/>
        </w:rPr>
        <w:t>, который направляет деятельность в цифровой среде, организует обсуждение результатов, полученных с помощью платформы.</w:t>
      </w:r>
    </w:p>
    <w:p w14:paraId="6CE89684" w14:textId="30D8A2EF" w:rsidR="00BB5EBE" w:rsidRPr="00901D57" w:rsidRDefault="006E2F8B" w:rsidP="00901D5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Аналитику, который использует данные встроенной аналитики платформы о прогрессе каждого ученика для своевременной коррекции учебного процесса и реализации индивидуального подхода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E32A95" w14:textId="01EF7A8D" w:rsidR="00BB5EBE" w:rsidRPr="00901D57" w:rsidRDefault="006E2F8B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>Практический опыт разработки и проведения урока с интеграцией «1</w:t>
      </w:r>
      <w:proofErr w:type="gramStart"/>
      <w:r w:rsidRPr="00901D57">
        <w:rPr>
          <w:rFonts w:ascii="Times New Roman" w:hAnsi="Times New Roman" w:cs="Times New Roman"/>
          <w:sz w:val="24"/>
          <w:szCs w:val="24"/>
          <w:lang w:val="ru-RU"/>
        </w:rPr>
        <w:t>С:Образование</w:t>
      </w:r>
      <w:proofErr w:type="gramEnd"/>
      <w:r w:rsidRPr="00901D57">
        <w:rPr>
          <w:rFonts w:ascii="Times New Roman" w:hAnsi="Times New Roman" w:cs="Times New Roman"/>
          <w:sz w:val="24"/>
          <w:szCs w:val="24"/>
          <w:lang w:val="ru-RU"/>
        </w:rPr>
        <w:t>» наглядно демонстрирует, что цифровые технологии являются мощным методическим ресурсом. Они позволяют не только повысить наглядность и интерактивность, но и принципиально изменить характер работы с нравственным содержанием художественного текста, делая её деятельностной и личностно ориентированной. Формирование у будущих педагогов компетенций проектирования такого интегрированного урока становится критически важным условием для воспитания вдумчивого, эмпатичного и этически ответственного читателя в современной цифровой школе.</w:t>
      </w:r>
    </w:p>
    <w:p w14:paraId="72E56DDE" w14:textId="77777777" w:rsidR="00BB5EBE" w:rsidRPr="00901D57" w:rsidRDefault="00BB5E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B4D262" w14:textId="5B3D30E3" w:rsidR="00BB5EBE" w:rsidRPr="00901D57" w:rsidRDefault="006E2F8B">
      <w:pPr>
        <w:ind w:firstLineChars="125" w:firstLine="30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1BA6C59E" w14:textId="65D84D34" w:rsidR="00BB5EBE" w:rsidRPr="00901D57" w:rsidRDefault="006E2F8B" w:rsidP="00901D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просвещения РФ от 31 мая 2021 г. </w:t>
      </w:r>
      <w:r w:rsidRPr="00901D57">
        <w:rPr>
          <w:rFonts w:ascii="Times New Roman" w:hAnsi="Times New Roman" w:cs="Times New Roman"/>
          <w:sz w:val="24"/>
          <w:szCs w:val="24"/>
        </w:rPr>
        <w:t>N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286 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</w:t>
      </w:r>
      <w:r w:rsidR="00C979D2">
        <w:rPr>
          <w:rFonts w:ascii="Times New Roman" w:hAnsi="Times New Roman" w:cs="Times New Roman"/>
          <w:sz w:val="24"/>
          <w:szCs w:val="24"/>
          <w:lang w:val="ru-RU"/>
        </w:rPr>
        <w:t xml:space="preserve"> стандарта начального общего образования»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Редакция с изменениями </w:t>
      </w:r>
      <w:r w:rsidRPr="00901D57">
        <w:rPr>
          <w:rFonts w:ascii="Times New Roman" w:hAnsi="Times New Roman" w:cs="Times New Roman"/>
          <w:sz w:val="24"/>
          <w:szCs w:val="24"/>
        </w:rPr>
        <w:t>N</w:t>
      </w:r>
      <w:r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 467 от 18.06.2025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2433" w:rsidRPr="00901D5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ru-RU"/>
        </w:rPr>
        <w:t xml:space="preserve">— </w:t>
      </w:r>
      <w:r w:rsidR="005F2433" w:rsidRPr="00901D57">
        <w:rPr>
          <w:rFonts w:ascii="Times New Roman" w:hAnsi="Times New Roman" w:cs="Times New Roman"/>
          <w:sz w:val="24"/>
          <w:szCs w:val="24"/>
        </w:rPr>
        <w:t>URL</w:t>
      </w:r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="005F2433" w:rsidRPr="00901D5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https://www.consultant.ru/document/cons_doc_LAW_389561/</w:t>
        </w:r>
      </w:hyperlink>
      <w:r w:rsidR="005F2433" w:rsidRPr="00901D57">
        <w:rPr>
          <w:rFonts w:ascii="Times New Roman" w:hAnsi="Times New Roman" w:cs="Times New Roman"/>
          <w:sz w:val="24"/>
          <w:szCs w:val="24"/>
          <w:lang w:val="ru-RU"/>
        </w:rPr>
        <w:t>, дата посещения: 12.11.2025.</w:t>
      </w:r>
    </w:p>
    <w:p w14:paraId="67F80C9F" w14:textId="77777777" w:rsidR="00BB5EBE" w:rsidRPr="00901D57" w:rsidRDefault="00BB5EB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5EBE" w:rsidRPr="00901D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D82CA0"/>
    <w:multiLevelType w:val="singleLevel"/>
    <w:tmpl w:val="89D82CA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0D05311"/>
    <w:multiLevelType w:val="hybridMultilevel"/>
    <w:tmpl w:val="F4E23F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60F0B40"/>
    <w:multiLevelType w:val="hybridMultilevel"/>
    <w:tmpl w:val="954276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1C568D1"/>
    <w:multiLevelType w:val="hybridMultilevel"/>
    <w:tmpl w:val="D4D81E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A5AD2"/>
    <w:rsid w:val="005F2433"/>
    <w:rsid w:val="006202FB"/>
    <w:rsid w:val="006E2F8B"/>
    <w:rsid w:val="007312DD"/>
    <w:rsid w:val="00901D57"/>
    <w:rsid w:val="00B81E8B"/>
    <w:rsid w:val="00BB5EBE"/>
    <w:rsid w:val="00C979D2"/>
    <w:rsid w:val="00FF04B3"/>
    <w:rsid w:val="15F5645A"/>
    <w:rsid w:val="1BF065AB"/>
    <w:rsid w:val="46515885"/>
    <w:rsid w:val="4A5620D5"/>
    <w:rsid w:val="4A7B01D8"/>
    <w:rsid w:val="4ECA5AD2"/>
    <w:rsid w:val="67DD61CC"/>
    <w:rsid w:val="7B2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A9AE9"/>
  <w15:docId w15:val="{CF1A184A-7C22-4575-BD45-52436D1C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qFormat/>
    <w:rPr>
      <w:sz w:val="24"/>
      <w:szCs w:val="24"/>
    </w:rPr>
  </w:style>
  <w:style w:type="character" w:styleId="a6">
    <w:name w:val="FollowedHyperlink"/>
    <w:basedOn w:val="a0"/>
    <w:rsid w:val="006E2F8B"/>
    <w:rPr>
      <w:color w:val="954F72" w:themeColor="followedHyperlink"/>
      <w:u w:val="single"/>
    </w:rPr>
  </w:style>
  <w:style w:type="paragraph" w:styleId="a7">
    <w:name w:val="List Paragraph"/>
    <w:basedOn w:val="a"/>
    <w:uiPriority w:val="99"/>
    <w:rsid w:val="006E2F8B"/>
    <w:pPr>
      <w:ind w:left="720"/>
      <w:contextualSpacing/>
    </w:pPr>
  </w:style>
  <w:style w:type="character" w:styleId="a8">
    <w:name w:val="annotation reference"/>
    <w:basedOn w:val="a0"/>
    <w:rsid w:val="005F2433"/>
    <w:rPr>
      <w:sz w:val="16"/>
      <w:szCs w:val="16"/>
    </w:rPr>
  </w:style>
  <w:style w:type="paragraph" w:styleId="a9">
    <w:name w:val="annotation text"/>
    <w:basedOn w:val="a"/>
    <w:link w:val="aa"/>
    <w:rsid w:val="005F2433"/>
  </w:style>
  <w:style w:type="character" w:customStyle="1" w:styleId="aa">
    <w:name w:val="Текст примечания Знак"/>
    <w:basedOn w:val="a0"/>
    <w:link w:val="a9"/>
    <w:rsid w:val="005F2433"/>
    <w:rPr>
      <w:rFonts w:asciiTheme="minorHAnsi" w:eastAsiaTheme="minorEastAsia" w:hAnsiTheme="minorHAnsi" w:cstheme="minorBidi"/>
      <w:lang w:val="en-US" w:eastAsia="zh-CN"/>
    </w:rPr>
  </w:style>
  <w:style w:type="paragraph" w:styleId="ab">
    <w:name w:val="annotation subject"/>
    <w:basedOn w:val="a9"/>
    <w:next w:val="a9"/>
    <w:link w:val="ac"/>
    <w:rsid w:val="005F2433"/>
    <w:rPr>
      <w:b/>
      <w:bCs/>
    </w:rPr>
  </w:style>
  <w:style w:type="character" w:customStyle="1" w:styleId="ac">
    <w:name w:val="Тема примечания Знак"/>
    <w:basedOn w:val="aa"/>
    <w:link w:val="ab"/>
    <w:rsid w:val="005F2433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ad">
    <w:name w:val="Revision"/>
    <w:hidden/>
    <w:uiPriority w:val="99"/>
    <w:semiHidden/>
    <w:rsid w:val="005F2433"/>
    <w:rPr>
      <w:rFonts w:asciiTheme="minorHAnsi" w:eastAsiaTheme="minorEastAsia" w:hAnsiTheme="minorHAnsi" w:cstheme="minorBidi"/>
      <w:lang w:val="en-US" w:eastAsia="zh-CN"/>
    </w:rPr>
  </w:style>
  <w:style w:type="paragraph" w:styleId="ae">
    <w:name w:val="Balloon Text"/>
    <w:basedOn w:val="a"/>
    <w:link w:val="af"/>
    <w:rsid w:val="005F243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5F2433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Эсаулов Василий Игоревич</cp:lastModifiedBy>
  <cp:revision>7</cp:revision>
  <dcterms:created xsi:type="dcterms:W3CDTF">2025-12-22T14:54:00Z</dcterms:created>
  <dcterms:modified xsi:type="dcterms:W3CDTF">2026-01-27T12:51:00Z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E2D6449DCF9443DFA026514742DB6F4F_11</vt:lpwstr>
  </property>
</Properties>
</file>